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0D" w:rsidRPr="00241607" w:rsidRDefault="003E340D" w:rsidP="003E34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1501F4">
        <w:rPr>
          <w:rFonts w:ascii="Times New Roman" w:hAnsi="Times New Roman"/>
          <w:sz w:val="24"/>
          <w:szCs w:val="24"/>
          <w:u w:val="single"/>
        </w:rPr>
        <w:t>Specyfikacja wykonania elementów konstrukcyjnych</w:t>
      </w:r>
      <w:r w:rsidRPr="00241607">
        <w:rPr>
          <w:rFonts w:ascii="Times New Roman" w:hAnsi="Times New Roman"/>
          <w:sz w:val="24"/>
          <w:szCs w:val="24"/>
        </w:rPr>
        <w:t xml:space="preserve">: </w:t>
      </w:r>
    </w:p>
    <w:p w:rsidR="003E340D" w:rsidRPr="00241607" w:rsidRDefault="003E340D" w:rsidP="003E340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3E340D" w:rsidRPr="00241607" w:rsidRDefault="003E340D" w:rsidP="003E340D">
      <w:pPr>
        <w:pStyle w:val="Akapitzlist"/>
        <w:numPr>
          <w:ilvl w:val="0"/>
          <w:numId w:val="1"/>
        </w:numPr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241607">
        <w:rPr>
          <w:rStyle w:val="fontstyle01"/>
          <w:rFonts w:ascii="Times New Roman" w:hAnsi="Times New Roman"/>
          <w:sz w:val="24"/>
          <w:szCs w:val="24"/>
        </w:rPr>
        <w:t>Komora technologiczna fontanny</w:t>
      </w:r>
      <w:r w:rsidRPr="00241607">
        <w:rPr>
          <w:rFonts w:ascii="Times New Roman" w:hAnsi="Times New Roman"/>
          <w:bCs/>
          <w:color w:val="000000"/>
          <w:sz w:val="24"/>
          <w:szCs w:val="24"/>
        </w:rPr>
        <w:br/>
      </w:r>
      <w:r w:rsidRPr="00241607">
        <w:rPr>
          <w:rStyle w:val="fontstyle21"/>
          <w:rFonts w:ascii="Times New Roman" w:hAnsi="Times New Roman"/>
          <w:sz w:val="24"/>
          <w:szCs w:val="24"/>
        </w:rPr>
        <w:t>Komorę technologiczną zaprojektowano w postaci dwudziałowej żelbetowej skrzyni betonowanej na miejscu budowy. W płycie górnej zastosowano zamek montażowy przygotowany do nasadzenia typowych kręgów żelbetowych DN1000, stosowanych do budowy studzienek kanalizacyjnych. Kręgi te stanowią obudowę włazu rewizyjnego. Otwory wentylacyjne oraz technologiczne w ścianach i dnie komory należy wykonać metoda przewiertu, a w miejscu przejścia wykonać uszczelnienie zapewniające zabezpieczenie przed wodą deszczową o ciśnieniu 300mm H20. Skrzynię należy wykonać z betonu B37 (C30/37) i zbroić obustronnie siatką z pręta #12 co 10cm ze stali AIIIN. W narożach zastosować haki kotwiące o lb=50cm, spięte 4 pionowymi</w:t>
      </w:r>
      <w:r w:rsidRPr="00241607">
        <w:rPr>
          <w:rFonts w:ascii="Times New Roman" w:hAnsi="Times New Roman"/>
          <w:color w:val="000000"/>
          <w:sz w:val="24"/>
          <w:szCs w:val="24"/>
        </w:rPr>
        <w:br/>
      </w:r>
      <w:r w:rsidRPr="00241607">
        <w:rPr>
          <w:rStyle w:val="fontstyle21"/>
          <w:rFonts w:ascii="Times New Roman" w:hAnsi="Times New Roman"/>
          <w:sz w:val="24"/>
          <w:szCs w:val="24"/>
        </w:rPr>
        <w:t>prętami #12mm.</w:t>
      </w:r>
      <w:r w:rsidRPr="00241607">
        <w:rPr>
          <w:rFonts w:ascii="Times New Roman" w:hAnsi="Times New Roman"/>
          <w:color w:val="000000"/>
          <w:sz w:val="24"/>
          <w:szCs w:val="24"/>
        </w:rPr>
        <w:br/>
      </w:r>
    </w:p>
    <w:p w:rsidR="003E340D" w:rsidRPr="00241607" w:rsidRDefault="003E340D" w:rsidP="003E340D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/>
          <w:sz w:val="24"/>
          <w:szCs w:val="24"/>
        </w:rPr>
      </w:pPr>
      <w:r w:rsidRPr="00241607">
        <w:rPr>
          <w:rStyle w:val="fontstyle01"/>
          <w:rFonts w:ascii="Times New Roman" w:hAnsi="Times New Roman"/>
          <w:sz w:val="24"/>
          <w:szCs w:val="24"/>
        </w:rPr>
        <w:t>Skarpy dekoracyjne</w:t>
      </w:r>
      <w:r w:rsidRPr="00241607">
        <w:rPr>
          <w:rFonts w:ascii="Times New Roman" w:hAnsi="Times New Roman"/>
          <w:bCs/>
          <w:color w:val="000000"/>
          <w:sz w:val="24"/>
          <w:szCs w:val="24"/>
        </w:rPr>
        <w:br/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Płyty tworzące skarp dekoracyjnych zaprojektowano jako 15cm. grubości elementu żelbetowe, wykonane z betonu architektonicznego klasy C30/37 (B37). Płyty należy wybetonować na miejscu, </w:t>
      </w:r>
      <w:proofErr w:type="spellStart"/>
      <w:r w:rsidRPr="00241607">
        <w:rPr>
          <w:rStyle w:val="fontstyle21"/>
          <w:rFonts w:ascii="Times New Roman" w:hAnsi="Times New Roman"/>
          <w:sz w:val="24"/>
          <w:szCs w:val="24"/>
        </w:rPr>
        <w:t>zbrojąc</w:t>
      </w:r>
      <w:proofErr w:type="spellEnd"/>
      <w:r w:rsidRPr="00241607">
        <w:rPr>
          <w:rStyle w:val="fontstyle21"/>
          <w:rFonts w:ascii="Times New Roman" w:hAnsi="Times New Roman"/>
          <w:sz w:val="24"/>
          <w:szCs w:val="24"/>
        </w:rPr>
        <w:t xml:space="preserve"> zgodnie z opisem na rysunkach. Płyty należy podzielić na elementy o rozpiętości nie większej niż 4m. Pod płytami należy wykonać nasyp budowlany z piasku średniego stabilizowanego spoiwem hydraulicznym. Nasyp należy wykonywać warstwami 20cm, zagęszczając do uzyskania IS&gt;=1.00. Warstwy nasypu należy kształtować w szalunku, tworzącym schodkową powierzchnię boczną. Na tak wykonanej powierzchni bocznej należy ułożyć beton podkładowy B7.5. Na betonie podkładowym wykonać szalunek płyt nawierzchniowych z uwzględnieniem dylatacji. W dylatacjach zastosować wkładki dylatacyjne mocowane w osi płyty o średnicy 16mm w odstępach 30cm.</w:t>
      </w:r>
    </w:p>
    <w:p w:rsidR="003E340D" w:rsidRPr="00241607" w:rsidRDefault="003E340D" w:rsidP="003E340D">
      <w:pPr>
        <w:pStyle w:val="Akapitzlist"/>
        <w:rPr>
          <w:rStyle w:val="fontstyle21"/>
          <w:rFonts w:ascii="Times New Roman" w:hAnsi="Times New Roman"/>
          <w:sz w:val="24"/>
          <w:szCs w:val="24"/>
        </w:rPr>
      </w:pPr>
    </w:p>
    <w:p w:rsidR="003E340D" w:rsidRPr="00241607" w:rsidRDefault="003E340D" w:rsidP="003E340D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/>
          <w:sz w:val="24"/>
          <w:szCs w:val="24"/>
        </w:rPr>
      </w:pPr>
      <w:r w:rsidRPr="00241607">
        <w:rPr>
          <w:rStyle w:val="fontstyle21"/>
          <w:rFonts w:ascii="Times New Roman" w:hAnsi="Times New Roman"/>
          <w:b/>
          <w:bCs/>
          <w:sz w:val="24"/>
          <w:szCs w:val="24"/>
        </w:rPr>
        <w:t>Płyta fontanny</w:t>
      </w:r>
      <w:r w:rsidRPr="00241607">
        <w:rPr>
          <w:rStyle w:val="fontstyle21"/>
          <w:rFonts w:ascii="Times New Roman" w:hAnsi="Times New Roman"/>
          <w:b/>
          <w:sz w:val="24"/>
          <w:szCs w:val="24"/>
        </w:rPr>
        <w:br/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Płytę fontanny wykonać na nasypie identycznym jak płyty skarp, z tą różnicą, że płyta fontanny nie jest </w:t>
      </w:r>
      <w:proofErr w:type="spellStart"/>
      <w:r w:rsidRPr="00241607">
        <w:rPr>
          <w:rStyle w:val="fontstyle21"/>
          <w:rFonts w:ascii="Times New Roman" w:hAnsi="Times New Roman"/>
          <w:sz w:val="24"/>
          <w:szCs w:val="24"/>
        </w:rPr>
        <w:t>dylatowana</w:t>
      </w:r>
      <w:proofErr w:type="spellEnd"/>
      <w:r w:rsidRPr="00241607">
        <w:rPr>
          <w:rStyle w:val="fontstyle21"/>
          <w:rFonts w:ascii="Times New Roman" w:hAnsi="Times New Roman"/>
          <w:sz w:val="24"/>
          <w:szCs w:val="24"/>
        </w:rPr>
        <w:t>. Pod płytą należy wykonać instalacje zgodnie z odpowiednią dokumentacja branżową.</w:t>
      </w:r>
    </w:p>
    <w:p w:rsidR="003E340D" w:rsidRPr="00241607" w:rsidRDefault="003E340D" w:rsidP="003E340D">
      <w:pPr>
        <w:pStyle w:val="Akapitzlist"/>
        <w:rPr>
          <w:rStyle w:val="fontstyle01"/>
          <w:rFonts w:ascii="Times New Roman" w:hAnsi="Times New Roman"/>
          <w:b w:val="0"/>
          <w:sz w:val="24"/>
          <w:szCs w:val="24"/>
        </w:rPr>
      </w:pPr>
    </w:p>
    <w:p w:rsidR="003E340D" w:rsidRPr="00241607" w:rsidRDefault="003E340D" w:rsidP="003E340D">
      <w:pPr>
        <w:pStyle w:val="Akapitzlist"/>
        <w:numPr>
          <w:ilvl w:val="0"/>
          <w:numId w:val="1"/>
        </w:numPr>
        <w:rPr>
          <w:rStyle w:val="fontstyle21"/>
          <w:rFonts w:ascii="Times New Roman" w:hAnsi="Times New Roman"/>
          <w:sz w:val="24"/>
          <w:szCs w:val="24"/>
        </w:rPr>
      </w:pPr>
      <w:r w:rsidRPr="00241607">
        <w:rPr>
          <w:rStyle w:val="fontstyle21"/>
          <w:rFonts w:ascii="Times New Roman" w:hAnsi="Times New Roman"/>
          <w:b/>
          <w:bCs/>
          <w:sz w:val="24"/>
          <w:szCs w:val="24"/>
        </w:rPr>
        <w:t>Impregnacja elementów betonowych</w:t>
      </w:r>
      <w:r w:rsidRPr="00241607">
        <w:rPr>
          <w:rStyle w:val="fontstyle21"/>
          <w:rFonts w:ascii="Times New Roman" w:hAnsi="Times New Roman"/>
          <w:b/>
          <w:sz w:val="24"/>
          <w:szCs w:val="24"/>
        </w:rPr>
        <w:br/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Elementy architektoniczne należy pokryć impregnatem </w:t>
      </w:r>
      <w:proofErr w:type="spellStart"/>
      <w:r w:rsidRPr="00241607">
        <w:rPr>
          <w:rStyle w:val="fontstyle21"/>
          <w:rFonts w:ascii="Times New Roman" w:hAnsi="Times New Roman"/>
          <w:sz w:val="24"/>
          <w:szCs w:val="24"/>
        </w:rPr>
        <w:t>hydrofobizującym</w:t>
      </w:r>
      <w:proofErr w:type="spellEnd"/>
      <w:r w:rsidRPr="00241607">
        <w:rPr>
          <w:rStyle w:val="fontstyle21"/>
          <w:rFonts w:ascii="Times New Roman" w:hAnsi="Times New Roman"/>
          <w:sz w:val="24"/>
          <w:szCs w:val="24"/>
        </w:rPr>
        <w:t xml:space="preserve"> o parametrach technicznych i użytkowych odpowiadających impregnatowi spełniającemu wymagania PN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 EN 1504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 2 dla impregnacji </w:t>
      </w:r>
      <w:proofErr w:type="spellStart"/>
      <w:r w:rsidRPr="00241607">
        <w:rPr>
          <w:rStyle w:val="fontstyle21"/>
          <w:rFonts w:ascii="Times New Roman" w:hAnsi="Times New Roman"/>
          <w:sz w:val="24"/>
          <w:szCs w:val="24"/>
        </w:rPr>
        <w:t>hydrofobizującej</w:t>
      </w:r>
      <w:proofErr w:type="spellEnd"/>
      <w:r w:rsidRPr="00241607">
        <w:rPr>
          <w:rStyle w:val="fontstyle21"/>
          <w:rFonts w:ascii="Times New Roman" w:hAnsi="Times New Roman"/>
          <w:sz w:val="24"/>
          <w:szCs w:val="24"/>
        </w:rPr>
        <w:t xml:space="preserve">, w tym </w:t>
      </w:r>
      <w:proofErr w:type="spellStart"/>
      <w:r w:rsidRPr="00241607">
        <w:rPr>
          <w:rStyle w:val="fontstyle21"/>
          <w:rFonts w:ascii="Times New Roman" w:hAnsi="Times New Roman"/>
          <w:sz w:val="24"/>
          <w:szCs w:val="24"/>
        </w:rPr>
        <w:t>zapewnijącym</w:t>
      </w:r>
      <w:proofErr w:type="spellEnd"/>
      <w:r w:rsidRPr="00241607">
        <w:rPr>
          <w:rStyle w:val="fontstyle21"/>
          <w:rFonts w:ascii="Times New Roman" w:hAnsi="Times New Roman"/>
          <w:sz w:val="24"/>
          <w:szCs w:val="24"/>
        </w:rPr>
        <w:t>: ochronę przed wnikaniem, zgodnie z zasadą 1, metoda 1.1 wg PN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>EN 1504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 9, kontrolę zawilgocenia, zgodnie z zasadą 2, metoda 2.1 wg PN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 EN 1504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 9 oraz zwiększanie odporności zgodnie z zasadą 8, metoda 8.1 wg PN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 EN 1504</w:t>
      </w:r>
      <w:r w:rsidRPr="00241607">
        <w:rPr>
          <w:rStyle w:val="fontstyle21"/>
          <w:rFonts w:ascii="Cambria Math" w:hAnsi="Cambria Math" w:cs="Cambria Math"/>
          <w:sz w:val="24"/>
          <w:szCs w:val="24"/>
        </w:rPr>
        <w:t>‐</w:t>
      </w:r>
      <w:r w:rsidRPr="00241607">
        <w:rPr>
          <w:rStyle w:val="fontstyle21"/>
          <w:rFonts w:ascii="Times New Roman" w:hAnsi="Times New Roman"/>
          <w:sz w:val="24"/>
          <w:szCs w:val="24"/>
        </w:rPr>
        <w:t xml:space="preserve"> 9.</w:t>
      </w:r>
    </w:p>
    <w:p w:rsidR="004C0535" w:rsidRDefault="003E340D">
      <w:bookmarkStart w:id="0" w:name="_GoBack"/>
      <w:bookmarkEnd w:id="0"/>
    </w:p>
    <w:sectPr w:rsidR="004C0535" w:rsidSect="002E1F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15F4D"/>
    <w:multiLevelType w:val="hybridMultilevel"/>
    <w:tmpl w:val="CB7E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0D"/>
    <w:rsid w:val="002E1F1D"/>
    <w:rsid w:val="003E340D"/>
    <w:rsid w:val="005D5839"/>
    <w:rsid w:val="00A2410D"/>
    <w:rsid w:val="00B458EF"/>
    <w:rsid w:val="00BE4E13"/>
    <w:rsid w:val="00E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42BA-8DEE-4091-A06D-6BE1BEE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340D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3E340D"/>
    <w:rPr>
      <w:rFonts w:ascii="Calibri" w:eastAsia="Calibri" w:hAnsi="Calibri" w:cs="Times New Roman"/>
    </w:rPr>
  </w:style>
  <w:style w:type="character" w:customStyle="1" w:styleId="fontstyle01">
    <w:name w:val="fontstyle01"/>
    <w:rsid w:val="003E340D"/>
    <w:rPr>
      <w:rFonts w:ascii="CenturyGothic-Bold" w:hAnsi="CenturyGothic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3E340D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Stankowska</dc:creator>
  <cp:keywords/>
  <dc:description/>
  <cp:lastModifiedBy>Renata Stankowska</cp:lastModifiedBy>
  <cp:revision>1</cp:revision>
  <dcterms:created xsi:type="dcterms:W3CDTF">2018-05-29T15:49:00Z</dcterms:created>
  <dcterms:modified xsi:type="dcterms:W3CDTF">2018-05-29T15:49:00Z</dcterms:modified>
</cp:coreProperties>
</file>